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F65D" w14:textId="640CBCC1" w:rsidR="007458BF" w:rsidRPr="00F2571F" w:rsidRDefault="00F2571F" w:rsidP="00F2571F">
      <w:pPr>
        <w:spacing w:before="120" w:after="0" w:line="240" w:lineRule="auto"/>
        <w:rPr>
          <w:rFonts w:eastAsia="Times New Roman" w:cstheme="minorHAnsi"/>
          <w:b/>
          <w:bCs/>
          <w:color w:val="333333"/>
          <w:sz w:val="36"/>
          <w:szCs w:val="36"/>
          <w:lang w:eastAsia="it-IT"/>
        </w:rPr>
      </w:pPr>
      <w:r w:rsidRPr="00F2571F">
        <w:rPr>
          <w:rFonts w:eastAsia="Times New Roman" w:cstheme="minorHAnsi"/>
          <w:b/>
          <w:bCs/>
          <w:color w:val="333333"/>
          <w:sz w:val="36"/>
          <w:szCs w:val="36"/>
          <w:lang w:eastAsia="it-IT"/>
        </w:rPr>
        <w:t xml:space="preserve">SCHEDA PROCEDURE </w:t>
      </w:r>
      <w:r w:rsidR="007458BF" w:rsidRPr="00F2571F">
        <w:rPr>
          <w:rFonts w:eastAsia="Times New Roman" w:cstheme="minorHAnsi"/>
          <w:b/>
          <w:bCs/>
          <w:color w:val="333333"/>
          <w:sz w:val="36"/>
          <w:szCs w:val="36"/>
          <w:lang w:eastAsia="it-IT"/>
        </w:rPr>
        <w:t>EVENTI CALAMITOSI PICCOLI COMUNI</w:t>
      </w:r>
    </w:p>
    <w:p w14:paraId="12F9F8DE" w14:textId="4D29152F" w:rsidR="007458BF" w:rsidRPr="00F2571F" w:rsidRDefault="007458BF" w:rsidP="00F2571F">
      <w:pPr>
        <w:spacing w:before="120" w:after="0" w:line="240" w:lineRule="auto"/>
        <w:rPr>
          <w:rFonts w:eastAsia="Times New Roman" w:cstheme="minorHAnsi"/>
          <w:color w:val="333333"/>
          <w:lang w:eastAsia="it-IT"/>
        </w:rPr>
      </w:pPr>
    </w:p>
    <w:p w14:paraId="50144938" w14:textId="6F2C7655" w:rsidR="007458BF" w:rsidRPr="007458BF" w:rsidRDefault="007458BF" w:rsidP="00F2571F">
      <w:p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F2571F">
        <w:rPr>
          <w:rFonts w:eastAsia="Times New Roman" w:cstheme="minorHAnsi"/>
          <w:color w:val="333333"/>
          <w:lang w:eastAsia="it-IT"/>
        </w:rPr>
        <w:t xml:space="preserve">Fatto salva la dichiarazione dello stato di calamità da parte della Presidenza del Consiglio e l’eventuale riconoscimento dei danni, per i comuni </w:t>
      </w:r>
      <w:r w:rsidRPr="007458BF">
        <w:rPr>
          <w:rFonts w:eastAsia="Times New Roman" w:cstheme="minorHAnsi"/>
          <w:b/>
          <w:bCs/>
          <w:color w:val="333333"/>
          <w:u w:val="single"/>
          <w:lang w:eastAsia="it-IT"/>
        </w:rPr>
        <w:t xml:space="preserve">sino a 20.000 </w:t>
      </w:r>
      <w:r w:rsidRPr="007458BF">
        <w:rPr>
          <w:rFonts w:eastAsia="Times New Roman" w:cstheme="minorHAnsi"/>
          <w:color w:val="333333"/>
          <w:lang w:eastAsia="it-IT"/>
        </w:rPr>
        <w:t>abitanti</w:t>
      </w:r>
      <w:r w:rsidRPr="00F2571F">
        <w:rPr>
          <w:rFonts w:eastAsia="Times New Roman" w:cstheme="minorHAnsi"/>
          <w:color w:val="333333"/>
          <w:lang w:eastAsia="it-IT"/>
        </w:rPr>
        <w:t xml:space="preserve">, in Lombardia è possibile </w:t>
      </w:r>
      <w:r w:rsidRPr="007458BF">
        <w:rPr>
          <w:rFonts w:eastAsia="Times New Roman" w:cstheme="minorHAnsi"/>
          <w:color w:val="333333"/>
          <w:lang w:eastAsia="it-IT"/>
        </w:rPr>
        <w:t>richiedere contributi per la realizzazione di opere di pronto intervento esclusivamente</w:t>
      </w:r>
      <w:r w:rsidRPr="00F2571F">
        <w:rPr>
          <w:rFonts w:eastAsia="Times New Roman" w:cstheme="minorHAnsi"/>
          <w:color w:val="333333"/>
          <w:lang w:eastAsia="it-IT"/>
        </w:rPr>
        <w:t xml:space="preserve"> </w:t>
      </w:r>
      <w:r w:rsidRPr="007458BF">
        <w:rPr>
          <w:rFonts w:eastAsia="Times New Roman" w:cstheme="minorHAnsi"/>
          <w:color w:val="333333"/>
          <w:lang w:eastAsia="it-IT"/>
        </w:rPr>
        <w:t>realizzate con la modalità della somma urgenza e dell’urgenza.</w:t>
      </w:r>
    </w:p>
    <w:p w14:paraId="3549B792" w14:textId="77777777" w:rsidR="007458BF" w:rsidRPr="007458BF" w:rsidRDefault="007458BF" w:rsidP="00F2571F">
      <w:p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7458BF">
        <w:rPr>
          <w:rFonts w:eastAsia="Times New Roman" w:cstheme="minorHAnsi"/>
          <w:color w:val="333333"/>
          <w:lang w:eastAsia="it-IT"/>
        </w:rPr>
        <w:t>Oltre agli interventi previsti dall'art. 10 della legge regionale n. 34 del 14 agosto 1973 "Provvedimenti in materia di viabilità, opere igieniche ed altre opere pubbliche", sono ammessi a finanziamento anche gli interventi che riguardano:</w:t>
      </w:r>
    </w:p>
    <w:p w14:paraId="681427CA" w14:textId="77777777" w:rsidR="007458BF" w:rsidRPr="007458BF" w:rsidRDefault="007458BF" w:rsidP="00F2571F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7458BF">
        <w:rPr>
          <w:rFonts w:eastAsia="Times New Roman" w:cstheme="minorHAnsi"/>
          <w:color w:val="333333"/>
          <w:lang w:eastAsia="it-IT"/>
        </w:rPr>
        <w:t>puntellamenti, demolizioni, sgombri ed altri lavori a tutela della pubblica incolumità</w:t>
      </w:r>
    </w:p>
    <w:p w14:paraId="684762B9" w14:textId="77777777" w:rsidR="007458BF" w:rsidRPr="007458BF" w:rsidRDefault="007458BF" w:rsidP="00F2571F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7458BF">
        <w:rPr>
          <w:rFonts w:eastAsia="Times New Roman" w:cstheme="minorHAnsi"/>
          <w:color w:val="333333"/>
          <w:lang w:eastAsia="it-IT"/>
        </w:rPr>
        <w:t>ripristino provvisorio del transito, ferma restando l’applicazione della legge n. 293 del 30 giugno 1904, della legge n. 674 del 29 dicembre 1904 e della legge n. 112 del 21 marzo 1907 per l’esecuzione di opere definitive</w:t>
      </w:r>
    </w:p>
    <w:p w14:paraId="15A33418" w14:textId="77777777" w:rsidR="007458BF" w:rsidRPr="007458BF" w:rsidRDefault="007458BF" w:rsidP="00F2571F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7458BF">
        <w:rPr>
          <w:rFonts w:eastAsia="Times New Roman" w:cstheme="minorHAnsi"/>
          <w:color w:val="333333"/>
          <w:lang w:eastAsia="it-IT"/>
        </w:rPr>
        <w:t>ripristino di acquedotti e di altre opere igieniche, limitatamente alle opere indispensabili a salvaguardia dell’igiene pubblica.</w:t>
      </w:r>
    </w:p>
    <w:p w14:paraId="31122AE0" w14:textId="77777777" w:rsidR="007458BF" w:rsidRPr="007458BF" w:rsidRDefault="007458BF" w:rsidP="00F2571F">
      <w:p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7458BF">
        <w:rPr>
          <w:rFonts w:eastAsia="Times New Roman" w:cstheme="minorHAnsi"/>
          <w:color w:val="333333"/>
          <w:lang w:eastAsia="it-IT"/>
        </w:rPr>
        <w:t>La concessione dei contributi regionali è subordinata a specifica e formale richiesta da parte del legale rappresentante del Comune interessato, inviata con posta elettronica certificata (PEC) e alla verifica positiva delle seguenti condizioni:</w:t>
      </w:r>
    </w:p>
    <w:p w14:paraId="2103A905" w14:textId="77777777" w:rsidR="007458BF" w:rsidRPr="007458BF" w:rsidRDefault="007458BF" w:rsidP="00F2571F">
      <w:pPr>
        <w:numPr>
          <w:ilvl w:val="0"/>
          <w:numId w:val="2"/>
        </w:num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7458BF">
        <w:rPr>
          <w:rFonts w:eastAsia="Times New Roman" w:cstheme="minorHAnsi"/>
          <w:color w:val="333333"/>
          <w:lang w:eastAsia="it-IT"/>
        </w:rPr>
        <w:t>avvenuta ed immediata segnalazione, da parte del Comune interessato, dell’evento calamitoso, all'Ufficio Territoriale Regionale (UTR) competente per territorio, con esplicita richiesta di sopralluogo e mediante</w:t>
      </w:r>
      <w:r w:rsidRPr="007458BF">
        <w:rPr>
          <w:rFonts w:eastAsia="Times New Roman" w:cstheme="minorHAnsi"/>
          <w:b/>
          <w:bCs/>
          <w:color w:val="333333"/>
          <w:u w:val="single"/>
          <w:lang w:eastAsia="it-IT"/>
        </w:rPr>
        <w:t xml:space="preserve"> SCHEDA A (RASDA</w:t>
      </w:r>
      <w:r w:rsidRPr="007458BF">
        <w:rPr>
          <w:rFonts w:eastAsia="Times New Roman" w:cstheme="minorHAnsi"/>
          <w:color w:val="333333"/>
          <w:lang w:eastAsia="it-IT"/>
        </w:rPr>
        <w:t xml:space="preserve">), da inoltrarsi non oltre 5 giorni dalla data di accertamento dell'evento, in considerazione della somma urgenza dell'intervento per il quale si richiede il contributo, con le modalità previste dalla </w:t>
      </w:r>
      <w:proofErr w:type="spellStart"/>
      <w:r w:rsidRPr="007458BF">
        <w:rPr>
          <w:rFonts w:eastAsia="Times New Roman" w:cstheme="minorHAnsi"/>
          <w:color w:val="333333"/>
          <w:lang w:eastAsia="it-IT"/>
        </w:rPr>
        <w:t>d.g.r</w:t>
      </w:r>
      <w:proofErr w:type="spellEnd"/>
      <w:r w:rsidRPr="007458BF">
        <w:rPr>
          <w:rFonts w:eastAsia="Times New Roman" w:cstheme="minorHAnsi"/>
          <w:color w:val="333333"/>
          <w:lang w:eastAsia="it-IT"/>
        </w:rPr>
        <w:t>. n. 8755 del 22 dicembre 2008;</w:t>
      </w:r>
    </w:p>
    <w:p w14:paraId="2477EFE6" w14:textId="77777777" w:rsidR="007458BF" w:rsidRPr="007458BF" w:rsidRDefault="007458BF" w:rsidP="00F2571F">
      <w:pPr>
        <w:numPr>
          <w:ilvl w:val="0"/>
          <w:numId w:val="2"/>
        </w:num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7458BF">
        <w:rPr>
          <w:rFonts w:eastAsia="Times New Roman" w:cstheme="minorHAnsi"/>
          <w:color w:val="333333"/>
          <w:lang w:eastAsia="it-IT"/>
        </w:rPr>
        <w:t>esistenza del piano d’emergenza comunale, secondo la vigente disciplina regionale;</w:t>
      </w:r>
    </w:p>
    <w:p w14:paraId="283AFE2F" w14:textId="77777777" w:rsidR="007458BF" w:rsidRPr="007458BF" w:rsidRDefault="007458BF" w:rsidP="00F2571F">
      <w:pPr>
        <w:numPr>
          <w:ilvl w:val="0"/>
          <w:numId w:val="2"/>
        </w:num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7458BF">
        <w:rPr>
          <w:rFonts w:eastAsia="Times New Roman" w:cstheme="minorHAnsi"/>
          <w:color w:val="333333"/>
          <w:lang w:eastAsia="it-IT"/>
        </w:rPr>
        <w:t>formale dichiarazione del legale rappresentante dell’Ente di aver allocato adeguate risorse di bilancio per affrontare situazioni di emergenza;</w:t>
      </w:r>
    </w:p>
    <w:p w14:paraId="7A360A51" w14:textId="77777777" w:rsidR="007458BF" w:rsidRPr="007458BF" w:rsidRDefault="007458BF" w:rsidP="00F2571F">
      <w:pPr>
        <w:numPr>
          <w:ilvl w:val="0"/>
          <w:numId w:val="2"/>
        </w:num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7458BF">
        <w:rPr>
          <w:rFonts w:eastAsia="Times New Roman" w:cstheme="minorHAnsi"/>
          <w:color w:val="333333"/>
          <w:lang w:eastAsia="it-IT"/>
        </w:rPr>
        <w:t>formale dichiarazione del legale rappresentante dell'Ente sul numero di abitanti residenti alla data della richiesta del contributo;</w:t>
      </w:r>
    </w:p>
    <w:p w14:paraId="0636BCF1" w14:textId="77777777" w:rsidR="007458BF" w:rsidRPr="007458BF" w:rsidRDefault="007458BF" w:rsidP="00F2571F">
      <w:pPr>
        <w:numPr>
          <w:ilvl w:val="0"/>
          <w:numId w:val="2"/>
        </w:num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7458BF">
        <w:rPr>
          <w:rFonts w:eastAsia="Times New Roman" w:cstheme="minorHAnsi"/>
          <w:color w:val="333333"/>
          <w:lang w:eastAsia="it-IT"/>
        </w:rPr>
        <w:t xml:space="preserve">esecuzione dei </w:t>
      </w:r>
      <w:r w:rsidRPr="007458BF">
        <w:rPr>
          <w:rFonts w:eastAsia="Times New Roman" w:cstheme="minorHAnsi"/>
          <w:b/>
          <w:bCs/>
          <w:color w:val="333333"/>
          <w:u w:val="single"/>
          <w:lang w:eastAsia="it-IT"/>
        </w:rPr>
        <w:t>lavori di somma urgenza</w:t>
      </w:r>
      <w:r w:rsidRPr="007458BF">
        <w:rPr>
          <w:rFonts w:eastAsia="Times New Roman" w:cstheme="minorHAnsi"/>
          <w:color w:val="333333"/>
          <w:lang w:eastAsia="it-IT"/>
        </w:rPr>
        <w:t xml:space="preserve">, così come disposto dal </w:t>
      </w:r>
      <w:r w:rsidRPr="007458BF">
        <w:rPr>
          <w:rFonts w:eastAsia="Times New Roman" w:cstheme="minorHAnsi"/>
          <w:b/>
          <w:bCs/>
          <w:color w:val="333333"/>
          <w:u w:val="single"/>
          <w:lang w:eastAsia="it-IT"/>
        </w:rPr>
        <w:t>comma 1, art. 163, del citato d.lgs. n. 50 del 2016</w:t>
      </w:r>
      <w:r w:rsidRPr="007458BF">
        <w:rPr>
          <w:rFonts w:eastAsia="Times New Roman" w:cstheme="minorHAnsi"/>
          <w:color w:val="333333"/>
          <w:lang w:eastAsia="it-IT"/>
        </w:rPr>
        <w:t>, con "immediata esecuzione dei lavori" (senza alcun indugio) al fine di rimuovere lo stato di pregiudizio alla pubblica incolumità,</w:t>
      </w:r>
      <w:r w:rsidRPr="007458BF">
        <w:rPr>
          <w:rFonts w:eastAsia="Times New Roman" w:cstheme="minorHAnsi"/>
          <w:b/>
          <w:bCs/>
          <w:color w:val="333333"/>
          <w:lang w:eastAsia="it-IT"/>
        </w:rPr>
        <w:t xml:space="preserve"> non</w:t>
      </w:r>
      <w:r w:rsidRPr="007458BF">
        <w:rPr>
          <w:rFonts w:eastAsia="Times New Roman" w:cstheme="minorHAnsi"/>
          <w:color w:val="333333"/>
          <w:lang w:eastAsia="it-IT"/>
        </w:rPr>
        <w:t xml:space="preserve"> potranno, pertanto, essere prese in considerazioni le richieste di contributi i cui lavori abbiamo avuto avvio </w:t>
      </w:r>
      <w:r w:rsidRPr="007458BF">
        <w:rPr>
          <w:rFonts w:eastAsia="Times New Roman" w:cstheme="minorHAnsi"/>
          <w:b/>
          <w:bCs/>
          <w:color w:val="333333"/>
          <w:u w:val="single"/>
          <w:lang w:eastAsia="it-IT"/>
        </w:rPr>
        <w:t>oltre 48 ore dalla data di accertamento</w:t>
      </w:r>
      <w:r w:rsidRPr="007458BF">
        <w:rPr>
          <w:rFonts w:eastAsia="Times New Roman" w:cstheme="minorHAnsi"/>
          <w:color w:val="333333"/>
          <w:lang w:eastAsia="it-IT"/>
        </w:rPr>
        <w:t xml:space="preserve"> dell’evento calamitoso.</w:t>
      </w:r>
    </w:p>
    <w:p w14:paraId="6D44340F" w14:textId="77777777" w:rsidR="007458BF" w:rsidRPr="007458BF" w:rsidRDefault="007458BF" w:rsidP="00F2571F">
      <w:p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7458BF">
        <w:rPr>
          <w:rFonts w:eastAsia="Times New Roman" w:cstheme="minorHAnsi"/>
          <w:color w:val="333333"/>
          <w:lang w:eastAsia="it-IT"/>
        </w:rPr>
        <w:t xml:space="preserve">Per accedere al contributo regionale per interventi di somma urgenza, gli Enti interessati devono, </w:t>
      </w:r>
      <w:r w:rsidRPr="007458BF">
        <w:rPr>
          <w:rFonts w:eastAsia="Times New Roman" w:cstheme="minorHAnsi"/>
          <w:b/>
          <w:bCs/>
          <w:color w:val="333333"/>
          <w:u w:val="single"/>
          <w:lang w:eastAsia="it-IT"/>
        </w:rPr>
        <w:t>entro e non oltre 15 giorni</w:t>
      </w:r>
      <w:r w:rsidRPr="007458BF">
        <w:rPr>
          <w:rFonts w:eastAsia="Times New Roman" w:cstheme="minorHAnsi"/>
          <w:color w:val="333333"/>
          <w:lang w:eastAsia="it-IT"/>
        </w:rPr>
        <w:t xml:space="preserve"> dalla data di accertamento dell’evento calamitoso, trasmettere alla UTR competente (indirizzi PEC UTR al punto 7) Istanza di contributo come da schema di cui all'Allegato A, corredata da:</w:t>
      </w:r>
    </w:p>
    <w:p w14:paraId="6C8E18C9" w14:textId="024772BC" w:rsidR="007458BF" w:rsidRPr="007458BF" w:rsidRDefault="007458BF" w:rsidP="00F2571F">
      <w:pPr>
        <w:numPr>
          <w:ilvl w:val="0"/>
          <w:numId w:val="3"/>
        </w:num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7458BF">
        <w:rPr>
          <w:rFonts w:eastAsia="Times New Roman" w:cstheme="minorHAnsi"/>
          <w:color w:val="333333"/>
          <w:lang w:eastAsia="it-IT"/>
        </w:rPr>
        <w:t xml:space="preserve">una dettagliata </w:t>
      </w:r>
      <w:r w:rsidRPr="007458BF">
        <w:rPr>
          <w:rFonts w:eastAsia="Times New Roman" w:cstheme="minorHAnsi"/>
          <w:b/>
          <w:bCs/>
          <w:color w:val="333333"/>
          <w:u w:val="single"/>
          <w:lang w:eastAsia="it-IT"/>
        </w:rPr>
        <w:t>relazione tecnica</w:t>
      </w:r>
      <w:r w:rsidR="003C583C" w:rsidRPr="00F2571F">
        <w:rPr>
          <w:rFonts w:eastAsia="Times New Roman" w:cstheme="minorHAnsi"/>
          <w:color w:val="333333"/>
          <w:lang w:eastAsia="it-IT"/>
        </w:rPr>
        <w:t xml:space="preserve"> (vedi allegato) c</w:t>
      </w:r>
      <w:r w:rsidRPr="007458BF">
        <w:rPr>
          <w:rFonts w:eastAsia="Times New Roman" w:cstheme="minorHAnsi"/>
          <w:color w:val="333333"/>
          <w:lang w:eastAsia="it-IT"/>
        </w:rPr>
        <w:t>ontenente le valutazioni in ordine a:</w:t>
      </w:r>
    </w:p>
    <w:p w14:paraId="2259C23E" w14:textId="77777777" w:rsidR="007458BF" w:rsidRPr="007458BF" w:rsidRDefault="007458BF" w:rsidP="00F2571F">
      <w:pPr>
        <w:numPr>
          <w:ilvl w:val="1"/>
          <w:numId w:val="3"/>
        </w:num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7458BF">
        <w:rPr>
          <w:rFonts w:eastAsia="Times New Roman" w:cstheme="minorHAnsi"/>
          <w:color w:val="333333"/>
          <w:lang w:eastAsia="it-IT"/>
        </w:rPr>
        <w:t xml:space="preserve">eccezionalità del fenomeno che ha prodotto i danni ovvero situazione di emergenza idrogeologica o </w:t>
      </w:r>
      <w:proofErr w:type="spellStart"/>
      <w:r w:rsidRPr="007458BF">
        <w:rPr>
          <w:rFonts w:eastAsia="Times New Roman" w:cstheme="minorHAnsi"/>
          <w:color w:val="333333"/>
          <w:lang w:eastAsia="it-IT"/>
        </w:rPr>
        <w:t>altra</w:t>
      </w:r>
      <w:proofErr w:type="spellEnd"/>
      <w:r w:rsidRPr="007458BF">
        <w:rPr>
          <w:rFonts w:eastAsia="Times New Roman" w:cstheme="minorHAnsi"/>
          <w:color w:val="333333"/>
          <w:lang w:eastAsia="it-IT"/>
        </w:rPr>
        <w:t xml:space="preserve"> calamità naturale in atto ed ipotesi evolutiva del fenomeno con i possibili danni;</w:t>
      </w:r>
    </w:p>
    <w:p w14:paraId="687D9BAA" w14:textId="77777777" w:rsidR="007458BF" w:rsidRPr="007458BF" w:rsidRDefault="007458BF" w:rsidP="00F2571F">
      <w:pPr>
        <w:numPr>
          <w:ilvl w:val="1"/>
          <w:numId w:val="3"/>
        </w:num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7458BF">
        <w:rPr>
          <w:rFonts w:eastAsia="Times New Roman" w:cstheme="minorHAnsi"/>
          <w:color w:val="333333"/>
          <w:lang w:eastAsia="it-IT"/>
        </w:rPr>
        <w:t>pericoli in atto e/o prevedibili a breve termine per la pubblica incolumità;</w:t>
      </w:r>
    </w:p>
    <w:p w14:paraId="35C9AC1D" w14:textId="77777777" w:rsidR="007458BF" w:rsidRPr="007458BF" w:rsidRDefault="007458BF" w:rsidP="00F2571F">
      <w:pPr>
        <w:numPr>
          <w:ilvl w:val="1"/>
          <w:numId w:val="3"/>
        </w:num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7458BF">
        <w:rPr>
          <w:rFonts w:eastAsia="Times New Roman" w:cstheme="minorHAnsi"/>
          <w:color w:val="333333"/>
          <w:lang w:eastAsia="it-IT"/>
        </w:rPr>
        <w:lastRenderedPageBreak/>
        <w:t>indicazione dell’importo dei lavori, come da ordine di servizio;</w:t>
      </w:r>
    </w:p>
    <w:p w14:paraId="14DCA8D5" w14:textId="77777777" w:rsidR="007458BF" w:rsidRPr="007458BF" w:rsidRDefault="007458BF" w:rsidP="00F2571F">
      <w:pPr>
        <w:numPr>
          <w:ilvl w:val="1"/>
          <w:numId w:val="3"/>
        </w:num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7458BF">
        <w:rPr>
          <w:rFonts w:eastAsia="Times New Roman" w:cstheme="minorHAnsi"/>
          <w:color w:val="333333"/>
          <w:lang w:eastAsia="it-IT"/>
        </w:rPr>
        <w:t>proposte tecniche e schemi descrittivi delle opere da realizzare;</w:t>
      </w:r>
    </w:p>
    <w:p w14:paraId="7045B41D" w14:textId="77777777" w:rsidR="007458BF" w:rsidRPr="007458BF" w:rsidRDefault="007458BF" w:rsidP="00F2571F">
      <w:pPr>
        <w:numPr>
          <w:ilvl w:val="1"/>
          <w:numId w:val="3"/>
        </w:num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7458BF">
        <w:rPr>
          <w:rFonts w:eastAsia="Times New Roman" w:cstheme="minorHAnsi"/>
          <w:color w:val="333333"/>
          <w:lang w:eastAsia="it-IT"/>
        </w:rPr>
        <w:t xml:space="preserve">documentazione fotografica a colori, idonea ad evidenziare gli elementi utili richiamati nella relazione (almeno </w:t>
      </w:r>
      <w:proofErr w:type="gramStart"/>
      <w:r w:rsidRPr="007458BF">
        <w:rPr>
          <w:rFonts w:eastAsia="Times New Roman" w:cstheme="minorHAnsi"/>
          <w:color w:val="333333"/>
          <w:lang w:eastAsia="it-IT"/>
        </w:rPr>
        <w:t>5</w:t>
      </w:r>
      <w:proofErr w:type="gramEnd"/>
      <w:r w:rsidRPr="007458BF">
        <w:rPr>
          <w:rFonts w:eastAsia="Times New Roman" w:cstheme="minorHAnsi"/>
          <w:color w:val="333333"/>
          <w:lang w:eastAsia="it-IT"/>
        </w:rPr>
        <w:t xml:space="preserve"> foto);</w:t>
      </w:r>
    </w:p>
    <w:p w14:paraId="3D1BBA57" w14:textId="77777777" w:rsidR="007458BF" w:rsidRPr="007458BF" w:rsidRDefault="007458BF" w:rsidP="00F2571F">
      <w:pPr>
        <w:numPr>
          <w:ilvl w:val="1"/>
          <w:numId w:val="3"/>
        </w:num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7458BF">
        <w:rPr>
          <w:rFonts w:eastAsia="Times New Roman" w:cstheme="minorHAnsi"/>
          <w:color w:val="333333"/>
          <w:lang w:eastAsia="it-IT"/>
        </w:rPr>
        <w:t xml:space="preserve">corografia dell’area, su carta tecnica regionale </w:t>
      </w:r>
      <w:proofErr w:type="gramStart"/>
      <w:r w:rsidRPr="007458BF">
        <w:rPr>
          <w:rFonts w:eastAsia="Times New Roman" w:cstheme="minorHAnsi"/>
          <w:color w:val="333333"/>
          <w:lang w:eastAsia="it-IT"/>
        </w:rPr>
        <w:t>1:10.000</w:t>
      </w:r>
      <w:proofErr w:type="gramEnd"/>
      <w:r w:rsidRPr="007458BF">
        <w:rPr>
          <w:rFonts w:eastAsia="Times New Roman" w:cstheme="minorHAnsi"/>
          <w:color w:val="333333"/>
          <w:lang w:eastAsia="it-IT"/>
        </w:rPr>
        <w:t>, con indicazione precisa delle opere da realizzare;</w:t>
      </w:r>
    </w:p>
    <w:p w14:paraId="6BC8748B" w14:textId="66B0C3BC" w:rsidR="007458BF" w:rsidRPr="007458BF" w:rsidRDefault="007458BF" w:rsidP="00F2571F">
      <w:pPr>
        <w:numPr>
          <w:ilvl w:val="0"/>
          <w:numId w:val="3"/>
        </w:num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7458BF">
        <w:rPr>
          <w:rFonts w:eastAsia="Times New Roman" w:cstheme="minorHAnsi"/>
          <w:b/>
          <w:bCs/>
          <w:color w:val="333333"/>
          <w:u w:val="single"/>
          <w:lang w:eastAsia="it-IT"/>
        </w:rPr>
        <w:t>verbale di somma urgenza,</w:t>
      </w:r>
      <w:r w:rsidRPr="007458BF">
        <w:rPr>
          <w:rFonts w:eastAsia="Times New Roman" w:cstheme="minorHAnsi"/>
          <w:color w:val="333333"/>
          <w:lang w:eastAsia="it-IT"/>
        </w:rPr>
        <w:t xml:space="preserve"> ex art. 163 del d.lgs. n. 50 del 2016</w:t>
      </w:r>
      <w:r w:rsidR="003C583C" w:rsidRPr="00F2571F">
        <w:rPr>
          <w:rFonts w:eastAsia="Times New Roman" w:cstheme="minorHAnsi"/>
          <w:color w:val="333333"/>
          <w:lang w:eastAsia="it-IT"/>
        </w:rPr>
        <w:t xml:space="preserve"> (vedi allegato)</w:t>
      </w:r>
      <w:r w:rsidRPr="007458BF">
        <w:rPr>
          <w:rFonts w:eastAsia="Times New Roman" w:cstheme="minorHAnsi"/>
          <w:color w:val="333333"/>
          <w:lang w:eastAsia="it-IT"/>
        </w:rPr>
        <w:t>;</w:t>
      </w:r>
    </w:p>
    <w:p w14:paraId="042BE9A4" w14:textId="47837D1C" w:rsidR="007458BF" w:rsidRPr="007458BF" w:rsidRDefault="007458BF" w:rsidP="00F2571F">
      <w:pPr>
        <w:numPr>
          <w:ilvl w:val="0"/>
          <w:numId w:val="3"/>
        </w:num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7458BF">
        <w:rPr>
          <w:rFonts w:eastAsia="Times New Roman" w:cstheme="minorHAnsi"/>
          <w:b/>
          <w:bCs/>
          <w:color w:val="333333"/>
          <w:u w:val="single"/>
          <w:lang w:eastAsia="it-IT"/>
        </w:rPr>
        <w:t>Ordine di servizio</w:t>
      </w:r>
      <w:r w:rsidRPr="007458BF">
        <w:rPr>
          <w:rFonts w:eastAsia="Times New Roman" w:cstheme="minorHAnsi"/>
          <w:color w:val="333333"/>
          <w:lang w:eastAsia="it-IT"/>
        </w:rPr>
        <w:t xml:space="preserve">, </w:t>
      </w:r>
      <w:r w:rsidR="003C583C" w:rsidRPr="00F2571F">
        <w:rPr>
          <w:rFonts w:eastAsia="Times New Roman" w:cstheme="minorHAnsi"/>
          <w:color w:val="333333"/>
          <w:lang w:eastAsia="it-IT"/>
        </w:rPr>
        <w:t xml:space="preserve">(vedi allegato) </w:t>
      </w:r>
      <w:r w:rsidRPr="007458BF">
        <w:rPr>
          <w:rFonts w:eastAsia="Times New Roman" w:cstheme="minorHAnsi"/>
          <w:color w:val="333333"/>
          <w:lang w:eastAsia="it-IT"/>
        </w:rPr>
        <w:t>debitamente firmato per accettazione dall'impresa appaltatrice dei lavori), con indicazione della data dell’avvio dei lavori e della durata degli stessi;</w:t>
      </w:r>
    </w:p>
    <w:p w14:paraId="23AEF6D8" w14:textId="77777777" w:rsidR="007458BF" w:rsidRPr="007458BF" w:rsidRDefault="007458BF" w:rsidP="00F2571F">
      <w:pPr>
        <w:numPr>
          <w:ilvl w:val="0"/>
          <w:numId w:val="3"/>
        </w:num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7458BF">
        <w:rPr>
          <w:rFonts w:eastAsia="Times New Roman" w:cstheme="minorHAnsi"/>
          <w:color w:val="333333"/>
          <w:lang w:eastAsia="it-IT"/>
        </w:rPr>
        <w:t>atto di approvazione dei lavori e della spesa da parte della Stazione appaltante (art. 163, comma 4, d.lgs. n. 50 del 2016 "entro dieci giorni dall'ordine di esecuzione dei lavori all'impresa").</w:t>
      </w:r>
    </w:p>
    <w:p w14:paraId="65F00CD8" w14:textId="77777777" w:rsidR="00955BDD" w:rsidRPr="00955BDD" w:rsidRDefault="00955BDD" w:rsidP="00F2571F">
      <w:p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955BDD">
        <w:rPr>
          <w:rFonts w:eastAsia="Times New Roman" w:cstheme="minorHAnsi"/>
          <w:color w:val="333333"/>
          <w:lang w:eastAsia="it-IT"/>
        </w:rPr>
        <w:t>L'UTR competente per territorio:</w:t>
      </w:r>
    </w:p>
    <w:p w14:paraId="4529A1DF" w14:textId="77777777" w:rsidR="00955BDD" w:rsidRPr="00955BDD" w:rsidRDefault="00955BDD" w:rsidP="00F2571F">
      <w:pPr>
        <w:numPr>
          <w:ilvl w:val="0"/>
          <w:numId w:val="4"/>
        </w:num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955BDD">
        <w:rPr>
          <w:rFonts w:eastAsia="Times New Roman" w:cstheme="minorHAnsi"/>
          <w:color w:val="333333"/>
          <w:lang w:eastAsia="it-IT"/>
        </w:rPr>
        <w:t>effettua un sopralluogo a seguito della richiesta del Comune interessato, per verificare:</w:t>
      </w:r>
    </w:p>
    <w:p w14:paraId="6933B4F6" w14:textId="77777777" w:rsidR="00955BDD" w:rsidRPr="00955BDD" w:rsidRDefault="00955BDD" w:rsidP="00F2571F">
      <w:pPr>
        <w:numPr>
          <w:ilvl w:val="1"/>
          <w:numId w:val="4"/>
        </w:num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955BDD">
        <w:rPr>
          <w:rFonts w:eastAsia="Times New Roman" w:cstheme="minorHAnsi"/>
          <w:color w:val="333333"/>
          <w:lang w:eastAsia="it-IT"/>
        </w:rPr>
        <w:t>che l’intervento di somma urgenza in questione, si sia reso necessario e indispensabile per rimuovere lo stato di pregiudizio alla pubblica incolumità;</w:t>
      </w:r>
    </w:p>
    <w:p w14:paraId="7FB2301C" w14:textId="77777777" w:rsidR="00955BDD" w:rsidRPr="00955BDD" w:rsidRDefault="00955BDD" w:rsidP="00F2571F">
      <w:pPr>
        <w:numPr>
          <w:ilvl w:val="1"/>
          <w:numId w:val="4"/>
        </w:num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955BDD">
        <w:rPr>
          <w:rFonts w:eastAsia="Times New Roman" w:cstheme="minorHAnsi"/>
          <w:color w:val="333333"/>
          <w:lang w:eastAsia="it-IT"/>
        </w:rPr>
        <w:t xml:space="preserve">che la situazione di emergenza idrogeologica o di </w:t>
      </w:r>
      <w:proofErr w:type="spellStart"/>
      <w:r w:rsidRPr="00955BDD">
        <w:rPr>
          <w:rFonts w:eastAsia="Times New Roman" w:cstheme="minorHAnsi"/>
          <w:color w:val="333333"/>
          <w:lang w:eastAsia="it-IT"/>
        </w:rPr>
        <w:t>altra</w:t>
      </w:r>
      <w:proofErr w:type="spellEnd"/>
      <w:r w:rsidRPr="00955BDD">
        <w:rPr>
          <w:rFonts w:eastAsia="Times New Roman" w:cstheme="minorHAnsi"/>
          <w:color w:val="333333"/>
          <w:lang w:eastAsia="it-IT"/>
        </w:rPr>
        <w:t xml:space="preserve"> calamità naturale sia ben individuata nello spazio e nel tempo;</w:t>
      </w:r>
    </w:p>
    <w:p w14:paraId="71EC8DD7" w14:textId="77777777" w:rsidR="00955BDD" w:rsidRPr="00955BDD" w:rsidRDefault="00955BDD" w:rsidP="00F2571F">
      <w:pPr>
        <w:numPr>
          <w:ilvl w:val="1"/>
          <w:numId w:val="4"/>
        </w:num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955BDD">
        <w:rPr>
          <w:rFonts w:eastAsia="Times New Roman" w:cstheme="minorHAnsi"/>
          <w:color w:val="333333"/>
          <w:lang w:eastAsia="it-IT"/>
        </w:rPr>
        <w:t>la sussistenza del nesso di causalità diretta e immediata tra situazione di emergenza idrogeologica o calamità naturale e danno;</w:t>
      </w:r>
    </w:p>
    <w:p w14:paraId="1B0A720F" w14:textId="77777777" w:rsidR="00955BDD" w:rsidRPr="00955BDD" w:rsidRDefault="00955BDD" w:rsidP="00F2571F">
      <w:pPr>
        <w:numPr>
          <w:ilvl w:val="1"/>
          <w:numId w:val="4"/>
        </w:num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955BDD">
        <w:rPr>
          <w:rFonts w:eastAsia="Times New Roman" w:cstheme="minorHAnsi"/>
          <w:color w:val="333333"/>
          <w:lang w:eastAsia="it-IT"/>
        </w:rPr>
        <w:t>che i danni derivino esclusivamente dagli eccezionali fenomeni naturali, verificatisi;</w:t>
      </w:r>
    </w:p>
    <w:p w14:paraId="7AC67426" w14:textId="77777777" w:rsidR="00955BDD" w:rsidRPr="00955BDD" w:rsidRDefault="00955BDD" w:rsidP="00F2571F">
      <w:pPr>
        <w:numPr>
          <w:ilvl w:val="1"/>
          <w:numId w:val="4"/>
        </w:num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955BDD">
        <w:rPr>
          <w:rFonts w:eastAsia="Times New Roman" w:cstheme="minorHAnsi"/>
          <w:color w:val="333333"/>
          <w:lang w:eastAsia="it-IT"/>
        </w:rPr>
        <w:t>che le strutture danneggiate, che necessitano di essere ripristinate a seguito dell’evento calamitoso occorso, siano state progettate ed eseguite a regola d’arte;</w:t>
      </w:r>
    </w:p>
    <w:p w14:paraId="2A62D9AE" w14:textId="77777777" w:rsidR="00955BDD" w:rsidRPr="00955BDD" w:rsidRDefault="00955BDD" w:rsidP="00F2571F">
      <w:pPr>
        <w:numPr>
          <w:ilvl w:val="1"/>
          <w:numId w:val="4"/>
        </w:num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955BDD">
        <w:rPr>
          <w:rFonts w:eastAsia="Times New Roman" w:cstheme="minorHAnsi"/>
          <w:color w:val="333333"/>
          <w:lang w:eastAsia="it-IT"/>
        </w:rPr>
        <w:t>che l’intervento di ripristino si sia reso necessario per garantire sicuro accesso carrabile a zone permanentemente abitate da residenti, che si rendano isolate, o a ripristinare il collegamento ad infrastrutture di primaria necessità, quali presidi medico-ospedalieri, presidi di pubblica sicurezza, edifici ed opere individuate nei piani di emergenza comunali;</w:t>
      </w:r>
    </w:p>
    <w:p w14:paraId="2D45B610" w14:textId="77777777" w:rsidR="00955BDD" w:rsidRPr="00955BDD" w:rsidRDefault="00955BDD" w:rsidP="00F2571F">
      <w:pPr>
        <w:numPr>
          <w:ilvl w:val="1"/>
          <w:numId w:val="4"/>
        </w:num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955BDD">
        <w:rPr>
          <w:rFonts w:eastAsia="Times New Roman" w:cstheme="minorHAnsi"/>
          <w:color w:val="333333"/>
          <w:lang w:eastAsia="it-IT"/>
        </w:rPr>
        <w:t>che l’intervento disposto dall’Ente sia adeguato e congruo;</w:t>
      </w:r>
    </w:p>
    <w:p w14:paraId="66665316" w14:textId="77777777" w:rsidR="00955BDD" w:rsidRPr="00955BDD" w:rsidRDefault="00955BDD" w:rsidP="00F2571F">
      <w:pPr>
        <w:numPr>
          <w:ilvl w:val="0"/>
          <w:numId w:val="4"/>
        </w:num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955BDD">
        <w:rPr>
          <w:rFonts w:eastAsia="Times New Roman" w:cstheme="minorHAnsi"/>
          <w:color w:val="333333"/>
          <w:lang w:eastAsia="it-IT"/>
        </w:rPr>
        <w:t>redige verbale di sopralluogo in ordine alle verifiche effettuate, di cui al precedente paragrafo 4.2.1;</w:t>
      </w:r>
    </w:p>
    <w:p w14:paraId="7E8E5392" w14:textId="77777777" w:rsidR="00955BDD" w:rsidRPr="00955BDD" w:rsidRDefault="00955BDD" w:rsidP="00F2571F">
      <w:pPr>
        <w:numPr>
          <w:ilvl w:val="0"/>
          <w:numId w:val="4"/>
        </w:num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955BDD">
        <w:rPr>
          <w:rFonts w:eastAsia="Times New Roman" w:cstheme="minorHAnsi"/>
          <w:color w:val="333333"/>
          <w:lang w:eastAsia="it-IT"/>
        </w:rPr>
        <w:t xml:space="preserve">accerta la completezza della documentazione di cui al paragrafo 4.1 ed in particolare l’avvenuta approvazione, da parte della Stazione appaltante, dei lavori e della relativa copertura della spesa (comma 4, art. 163, </w:t>
      </w:r>
      <w:proofErr w:type="spellStart"/>
      <w:r w:rsidRPr="00955BDD">
        <w:rPr>
          <w:rFonts w:eastAsia="Times New Roman" w:cstheme="minorHAnsi"/>
          <w:color w:val="333333"/>
          <w:lang w:eastAsia="it-IT"/>
        </w:rPr>
        <w:t>D.Lgs</w:t>
      </w:r>
      <w:proofErr w:type="spellEnd"/>
      <w:r w:rsidRPr="00955BDD">
        <w:rPr>
          <w:rFonts w:eastAsia="Times New Roman" w:cstheme="minorHAnsi"/>
          <w:color w:val="333333"/>
          <w:lang w:eastAsia="it-IT"/>
        </w:rPr>
        <w:t xml:space="preserve"> 50/2016);</w:t>
      </w:r>
    </w:p>
    <w:p w14:paraId="35290D6A" w14:textId="77777777" w:rsidR="00955BDD" w:rsidRPr="00955BDD" w:rsidRDefault="00955BDD" w:rsidP="00F2571F">
      <w:pPr>
        <w:numPr>
          <w:ilvl w:val="0"/>
          <w:numId w:val="4"/>
        </w:num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955BDD">
        <w:rPr>
          <w:rFonts w:eastAsia="Times New Roman" w:cstheme="minorHAnsi"/>
          <w:color w:val="333333"/>
          <w:lang w:eastAsia="it-IT"/>
        </w:rPr>
        <w:t xml:space="preserve">invia, tramite applicativo gestionale EDMA, </w:t>
      </w:r>
      <w:proofErr w:type="gramStart"/>
      <w:r w:rsidRPr="00955BDD">
        <w:rPr>
          <w:rFonts w:eastAsia="Times New Roman" w:cstheme="minorHAnsi"/>
          <w:color w:val="333333"/>
          <w:lang w:eastAsia="it-IT"/>
        </w:rPr>
        <w:t>denominato ”Iter</w:t>
      </w:r>
      <w:proofErr w:type="gramEnd"/>
      <w:r w:rsidRPr="00955BDD">
        <w:rPr>
          <w:rFonts w:eastAsia="Times New Roman" w:cstheme="minorHAnsi"/>
          <w:color w:val="333333"/>
          <w:lang w:eastAsia="it-IT"/>
        </w:rPr>
        <w:t xml:space="preserve"> pratiche pronto interventi” il tutto alla Direzione Generale Territorio e Protezione Civile, Unità Organizzativa Protezione Civile, entro 5 giorni dalla data di richiesta di contributo da parte del Comune interessato.</w:t>
      </w:r>
    </w:p>
    <w:p w14:paraId="02F45B47" w14:textId="493F1EC7" w:rsidR="00955BDD" w:rsidRPr="00F2571F" w:rsidRDefault="00955BDD" w:rsidP="00F2571F">
      <w:p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955BDD">
        <w:rPr>
          <w:rFonts w:eastAsia="Times New Roman" w:cstheme="minorHAnsi"/>
          <w:color w:val="333333"/>
          <w:lang w:eastAsia="it-IT"/>
        </w:rPr>
        <w:t xml:space="preserve">Svolta con esito positivo la </w:t>
      </w:r>
      <w:proofErr w:type="gramStart"/>
      <w:r w:rsidRPr="00955BDD">
        <w:rPr>
          <w:rFonts w:eastAsia="Times New Roman" w:cstheme="minorHAnsi"/>
          <w:color w:val="333333"/>
          <w:lang w:eastAsia="it-IT"/>
        </w:rPr>
        <w:t>predetta</w:t>
      </w:r>
      <w:proofErr w:type="gramEnd"/>
      <w:r w:rsidRPr="00955BDD">
        <w:rPr>
          <w:rFonts w:eastAsia="Times New Roman" w:cstheme="minorHAnsi"/>
          <w:color w:val="333333"/>
          <w:lang w:eastAsia="it-IT"/>
        </w:rPr>
        <w:t xml:space="preserve"> istruttoria, Regione Lombardia concede il contributo all'Ente richiedente, secondo quanto previsto dalla </w:t>
      </w:r>
      <w:proofErr w:type="spellStart"/>
      <w:r w:rsidRPr="00955BDD">
        <w:rPr>
          <w:rFonts w:eastAsia="Times New Roman" w:cstheme="minorHAnsi"/>
          <w:color w:val="333333"/>
          <w:lang w:eastAsia="it-IT"/>
        </w:rPr>
        <w:t>d.g.r</w:t>
      </w:r>
      <w:proofErr w:type="spellEnd"/>
      <w:r w:rsidRPr="00955BDD">
        <w:rPr>
          <w:rFonts w:eastAsia="Times New Roman" w:cstheme="minorHAnsi"/>
          <w:color w:val="333333"/>
          <w:lang w:eastAsia="it-IT"/>
        </w:rPr>
        <w:t>. n. 1779 del 2019, entro 30 giorni dalla data di ricevimento dell’istanza da parte dell'UTR.</w:t>
      </w:r>
    </w:p>
    <w:p w14:paraId="158C9F3F" w14:textId="4EC5FD64" w:rsidR="00955BDD" w:rsidRPr="00F2571F" w:rsidRDefault="00955BDD" w:rsidP="00F2571F">
      <w:p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</w:p>
    <w:p w14:paraId="1C96C670" w14:textId="5F4779BF" w:rsidR="00955BDD" w:rsidRPr="00F2571F" w:rsidRDefault="00955BDD" w:rsidP="00F2571F">
      <w:p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</w:p>
    <w:p w14:paraId="54168407" w14:textId="7ED3F31B" w:rsidR="00955BDD" w:rsidRPr="00F2571F" w:rsidRDefault="00955BDD" w:rsidP="00F2571F">
      <w:p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</w:p>
    <w:p w14:paraId="323A8D4F" w14:textId="77777777" w:rsidR="00F2571F" w:rsidRPr="00F2571F" w:rsidRDefault="00F2571F" w:rsidP="00F2571F">
      <w:pPr>
        <w:shd w:val="clear" w:color="auto" w:fill="FFFFFF" w:themeFill="background1"/>
        <w:spacing w:before="120" w:after="0" w:line="240" w:lineRule="auto"/>
        <w:jc w:val="both"/>
        <w:rPr>
          <w:rFonts w:eastAsia="Times New Roman" w:cstheme="minorHAnsi"/>
          <w:b/>
          <w:bCs/>
          <w:color w:val="333333"/>
          <w:sz w:val="36"/>
          <w:szCs w:val="36"/>
          <w:lang w:eastAsia="it-IT"/>
        </w:rPr>
      </w:pPr>
      <w:r w:rsidRPr="00F2571F">
        <w:rPr>
          <w:rFonts w:eastAsia="Times New Roman" w:cstheme="minorHAnsi"/>
          <w:b/>
          <w:bCs/>
          <w:color w:val="333333"/>
          <w:sz w:val="36"/>
          <w:szCs w:val="36"/>
          <w:lang w:eastAsia="it-IT"/>
        </w:rPr>
        <w:lastRenderedPageBreak/>
        <w:t>PROCEDURA RASDA</w:t>
      </w:r>
    </w:p>
    <w:p w14:paraId="78B69C6C" w14:textId="0B4BE5CC" w:rsidR="00F2571F" w:rsidRPr="00F2571F" w:rsidRDefault="00F2571F" w:rsidP="00F2571F">
      <w:pPr>
        <w:shd w:val="clear" w:color="auto" w:fill="FFFFFF" w:themeFill="background1"/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</w:p>
    <w:p w14:paraId="17F9A173" w14:textId="77777777" w:rsidR="00F2571F" w:rsidRPr="00F2571F" w:rsidRDefault="00F2571F" w:rsidP="00F2571F">
      <w:p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955BDD">
        <w:rPr>
          <w:rFonts w:eastAsia="Times New Roman" w:cstheme="minorHAnsi"/>
          <w:color w:val="333333"/>
          <w:lang w:eastAsia="it-IT"/>
        </w:rPr>
        <w:t xml:space="preserve">Ogni qualvolta un evento calamitoso naturale significativo provoca danni sul proprio territorio, l’ente locale informa Regione Lombardia mediante il sistema regionale online </w:t>
      </w:r>
      <w:proofErr w:type="spellStart"/>
      <w:r w:rsidRPr="00955BDD">
        <w:rPr>
          <w:rFonts w:eastAsia="Times New Roman" w:cstheme="minorHAnsi"/>
          <w:color w:val="333333"/>
          <w:lang w:eastAsia="it-IT"/>
        </w:rPr>
        <w:t>Ra.S.Da</w:t>
      </w:r>
      <w:proofErr w:type="spellEnd"/>
      <w:r w:rsidRPr="00955BDD">
        <w:rPr>
          <w:rFonts w:eastAsia="Times New Roman" w:cstheme="minorHAnsi"/>
          <w:color w:val="333333"/>
          <w:lang w:eastAsia="it-IT"/>
        </w:rPr>
        <w:t xml:space="preserve">. (Raccolta Schede Danni) come descritto nella direttiva approvata con </w:t>
      </w:r>
      <w:proofErr w:type="spellStart"/>
      <w:r w:rsidRPr="00955BDD">
        <w:rPr>
          <w:rFonts w:eastAsia="Times New Roman" w:cstheme="minorHAnsi"/>
          <w:b/>
          <w:bCs/>
          <w:color w:val="333333"/>
          <w:u w:val="single"/>
          <w:lang w:eastAsia="it-IT"/>
        </w:rPr>
        <w:t>D.g.r</w:t>
      </w:r>
      <w:proofErr w:type="spellEnd"/>
      <w:r w:rsidRPr="00955BDD">
        <w:rPr>
          <w:rFonts w:eastAsia="Times New Roman" w:cstheme="minorHAnsi"/>
          <w:b/>
          <w:bCs/>
          <w:color w:val="333333"/>
          <w:u w:val="single"/>
          <w:lang w:eastAsia="it-IT"/>
        </w:rPr>
        <w:t>. 8755/2008.</w:t>
      </w:r>
    </w:p>
    <w:p w14:paraId="7731DA7D" w14:textId="418B4C44" w:rsidR="00F2571F" w:rsidRPr="00955BDD" w:rsidRDefault="00F2571F" w:rsidP="00F2571F">
      <w:p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955BDD">
        <w:rPr>
          <w:rFonts w:eastAsia="Times New Roman" w:cstheme="minorHAnsi"/>
          <w:color w:val="333333"/>
          <w:lang w:eastAsia="it-IT"/>
        </w:rPr>
        <w:br/>
        <w:t xml:space="preserve">La segnalazione dei danni deve essere effettuata dagli enti locali esclusivamente attraverso la compilazione della scheda A disponibile sull’ l’applicativo online </w:t>
      </w:r>
      <w:proofErr w:type="spellStart"/>
      <w:r w:rsidRPr="00955BDD">
        <w:rPr>
          <w:rFonts w:eastAsia="Times New Roman" w:cstheme="minorHAnsi"/>
          <w:color w:val="333333"/>
          <w:lang w:eastAsia="it-IT"/>
        </w:rPr>
        <w:t>Ra.S.Da</w:t>
      </w:r>
      <w:proofErr w:type="spellEnd"/>
      <w:r w:rsidRPr="00955BDD">
        <w:rPr>
          <w:rFonts w:eastAsia="Times New Roman" w:cstheme="minorHAnsi"/>
          <w:color w:val="333333"/>
          <w:lang w:eastAsia="it-IT"/>
        </w:rPr>
        <w:t xml:space="preserve">. </w:t>
      </w:r>
      <w:r w:rsidRPr="00955BDD">
        <w:rPr>
          <w:rFonts w:eastAsia="Times New Roman" w:cstheme="minorHAnsi"/>
          <w:b/>
          <w:bCs/>
          <w:color w:val="333333"/>
          <w:u w:val="single"/>
          <w:lang w:eastAsia="it-IT"/>
        </w:rPr>
        <w:t xml:space="preserve">entro </w:t>
      </w:r>
      <w:proofErr w:type="gramStart"/>
      <w:r w:rsidRPr="00955BDD">
        <w:rPr>
          <w:rFonts w:eastAsia="Times New Roman" w:cstheme="minorHAnsi"/>
          <w:b/>
          <w:bCs/>
          <w:color w:val="333333"/>
          <w:u w:val="single"/>
          <w:lang w:eastAsia="it-IT"/>
        </w:rPr>
        <w:t>7</w:t>
      </w:r>
      <w:proofErr w:type="gramEnd"/>
      <w:r w:rsidRPr="00955BDD">
        <w:rPr>
          <w:rFonts w:eastAsia="Times New Roman" w:cstheme="minorHAnsi"/>
          <w:b/>
          <w:bCs/>
          <w:color w:val="333333"/>
          <w:u w:val="single"/>
          <w:lang w:eastAsia="it-IT"/>
        </w:rPr>
        <w:t xml:space="preserve"> giorni</w:t>
      </w:r>
      <w:r w:rsidRPr="00955BDD">
        <w:rPr>
          <w:rFonts w:eastAsia="Times New Roman" w:cstheme="minorHAnsi"/>
          <w:color w:val="333333"/>
          <w:lang w:eastAsia="it-IT"/>
        </w:rPr>
        <w:t xml:space="preserve"> dal verificarsi dell’evento al sito </w:t>
      </w:r>
      <w:proofErr w:type="spellStart"/>
      <w:r w:rsidRPr="00955BDD">
        <w:rPr>
          <w:rFonts w:eastAsia="Times New Roman" w:cstheme="minorHAnsi"/>
          <w:color w:val="333333"/>
          <w:lang w:eastAsia="it-IT"/>
        </w:rPr>
        <w:fldChar w:fldCharType="begin"/>
      </w:r>
      <w:r w:rsidRPr="00955BDD">
        <w:rPr>
          <w:rFonts w:eastAsia="Times New Roman" w:cstheme="minorHAnsi"/>
          <w:color w:val="333333"/>
          <w:lang w:eastAsia="it-IT"/>
        </w:rPr>
        <w:instrText xml:space="preserve"> HYPERLINK "http://www.rasda.regione.lombardia.it/rasda/" </w:instrText>
      </w:r>
      <w:r w:rsidRPr="00955BDD">
        <w:rPr>
          <w:rFonts w:eastAsia="Times New Roman" w:cstheme="minorHAnsi"/>
          <w:color w:val="333333"/>
          <w:lang w:eastAsia="it-IT"/>
        </w:rPr>
        <w:fldChar w:fldCharType="separate"/>
      </w:r>
      <w:r w:rsidRPr="00955BDD">
        <w:rPr>
          <w:rFonts w:eastAsia="Times New Roman" w:cstheme="minorHAnsi"/>
          <w:color w:val="333333"/>
          <w:lang w:eastAsia="it-IT"/>
        </w:rPr>
        <w:t>Ra.S.Da</w:t>
      </w:r>
      <w:proofErr w:type="spellEnd"/>
      <w:r w:rsidRPr="00955BDD">
        <w:rPr>
          <w:rFonts w:eastAsia="Times New Roman" w:cstheme="minorHAnsi"/>
          <w:color w:val="333333"/>
          <w:lang w:eastAsia="it-IT"/>
        </w:rPr>
        <w:t>.</w:t>
      </w:r>
      <w:r w:rsidRPr="00955BDD">
        <w:rPr>
          <w:rFonts w:eastAsia="Times New Roman" w:cstheme="minorHAnsi"/>
          <w:color w:val="333333"/>
          <w:lang w:eastAsia="it-IT"/>
        </w:rPr>
        <w:fldChar w:fldCharType="end"/>
      </w:r>
    </w:p>
    <w:p w14:paraId="52485B2C" w14:textId="77777777" w:rsidR="00AD6F4A" w:rsidRDefault="00AD6F4A" w:rsidP="00F2571F">
      <w:pPr>
        <w:spacing w:before="120" w:after="0" w:line="240" w:lineRule="auto"/>
        <w:jc w:val="both"/>
        <w:rPr>
          <w:rFonts w:eastAsia="Times New Roman" w:cstheme="minorHAnsi"/>
          <w:b/>
          <w:bCs/>
          <w:color w:val="333333"/>
          <w:lang w:eastAsia="it-IT"/>
        </w:rPr>
      </w:pPr>
    </w:p>
    <w:p w14:paraId="529AE83C" w14:textId="0E342965" w:rsidR="00F2571F" w:rsidRPr="00F2571F" w:rsidRDefault="00F2571F" w:rsidP="00F2571F">
      <w:p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955BDD">
        <w:rPr>
          <w:rFonts w:eastAsia="Times New Roman" w:cstheme="minorHAnsi"/>
          <w:color w:val="333333"/>
          <w:lang w:eastAsia="it-IT"/>
        </w:rPr>
        <w:t xml:space="preserve">La trasmissione della </w:t>
      </w:r>
      <w:r w:rsidRPr="00955BDD">
        <w:rPr>
          <w:rFonts w:eastAsia="Times New Roman" w:cstheme="minorHAnsi"/>
          <w:b/>
          <w:bCs/>
          <w:color w:val="333333"/>
          <w:u w:val="single"/>
          <w:lang w:eastAsia="it-IT"/>
        </w:rPr>
        <w:t>scheda A</w:t>
      </w:r>
      <w:r w:rsidRPr="00955BDD">
        <w:rPr>
          <w:rFonts w:eastAsia="Times New Roman" w:cstheme="minorHAnsi"/>
          <w:color w:val="333333"/>
          <w:lang w:eastAsia="it-IT"/>
        </w:rPr>
        <w:t xml:space="preserve"> avvia il procedimento.</w:t>
      </w:r>
      <w:r w:rsidRPr="00F2571F">
        <w:rPr>
          <w:rFonts w:eastAsia="Times New Roman" w:cstheme="minorHAnsi"/>
          <w:color w:val="333333"/>
          <w:lang w:eastAsia="it-IT"/>
        </w:rPr>
        <w:t xml:space="preserve"> (vedi fac-simile </w:t>
      </w:r>
      <w:proofErr w:type="spellStart"/>
      <w:r w:rsidRPr="00F2571F">
        <w:rPr>
          <w:rFonts w:eastAsia="Times New Roman" w:cstheme="minorHAnsi"/>
          <w:color w:val="333333"/>
          <w:lang w:eastAsia="it-IT"/>
        </w:rPr>
        <w:t>alelgato</w:t>
      </w:r>
      <w:proofErr w:type="spellEnd"/>
      <w:r w:rsidRPr="00F2571F">
        <w:rPr>
          <w:rFonts w:eastAsia="Times New Roman" w:cstheme="minorHAnsi"/>
          <w:color w:val="333333"/>
          <w:lang w:eastAsia="it-IT"/>
        </w:rPr>
        <w:t>)</w:t>
      </w:r>
    </w:p>
    <w:p w14:paraId="71174309" w14:textId="09B78DF7" w:rsidR="00F2571F" w:rsidRPr="00F2571F" w:rsidRDefault="00F2571F" w:rsidP="00F2571F">
      <w:p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F2571F">
        <w:rPr>
          <w:rFonts w:eastAsia="Times New Roman" w:cstheme="minorHAnsi"/>
          <w:color w:val="333333"/>
          <w:lang w:eastAsia="it-IT"/>
        </w:rPr>
        <w:drawing>
          <wp:anchor distT="0" distB="0" distL="114300" distR="114300" simplePos="0" relativeHeight="251659264" behindDoc="0" locked="0" layoutInCell="1" allowOverlap="1" wp14:anchorId="036CFA21" wp14:editId="7BB93BA9">
            <wp:simplePos x="0" y="0"/>
            <wp:positionH relativeFrom="column">
              <wp:posOffset>4445</wp:posOffset>
            </wp:positionH>
            <wp:positionV relativeFrom="paragraph">
              <wp:posOffset>1118235</wp:posOffset>
            </wp:positionV>
            <wp:extent cx="6115685" cy="2672080"/>
            <wp:effectExtent l="19050" t="19050" r="18415" b="13970"/>
            <wp:wrapSquare wrapText="bothSides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6720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BDD">
        <w:rPr>
          <w:rFonts w:eastAsia="Times New Roman" w:cstheme="minorHAnsi"/>
          <w:color w:val="333333"/>
          <w:lang w:eastAsia="it-IT"/>
        </w:rPr>
        <w:br/>
      </w:r>
      <w:r w:rsidRPr="00F2571F">
        <w:rPr>
          <w:rFonts w:eastAsia="Times New Roman" w:cstheme="minorHAnsi"/>
          <w:color w:val="333333"/>
          <w:lang w:eastAsia="it-IT"/>
        </w:rPr>
        <w:t xml:space="preserve">L’accesso all’applicativo avviene mediante inserimento di user name e password fornite a cura della D.G. Sicurezza, Protezione Civile e Immigrazione. Ad ogni ente locale abilitato all’accesso al sistema </w:t>
      </w:r>
      <w:proofErr w:type="spellStart"/>
      <w:r w:rsidRPr="00F2571F">
        <w:rPr>
          <w:rFonts w:eastAsia="Times New Roman" w:cstheme="minorHAnsi"/>
          <w:color w:val="333333"/>
          <w:lang w:eastAsia="it-IT"/>
        </w:rPr>
        <w:t>Ra.S.Da</w:t>
      </w:r>
      <w:proofErr w:type="spellEnd"/>
      <w:r w:rsidRPr="00F2571F">
        <w:rPr>
          <w:rFonts w:eastAsia="Times New Roman" w:cstheme="minorHAnsi"/>
          <w:color w:val="333333"/>
          <w:lang w:eastAsia="it-IT"/>
        </w:rPr>
        <w:t xml:space="preserve">. viene fornita un’unica user name e password. La responsabilità dei dati di accesso al sistema </w:t>
      </w:r>
      <w:proofErr w:type="spellStart"/>
      <w:r w:rsidRPr="00F2571F">
        <w:rPr>
          <w:rFonts w:eastAsia="Times New Roman" w:cstheme="minorHAnsi"/>
          <w:color w:val="333333"/>
          <w:lang w:eastAsia="it-IT"/>
        </w:rPr>
        <w:t>Ra.S.Da</w:t>
      </w:r>
      <w:proofErr w:type="spellEnd"/>
      <w:r w:rsidRPr="00F2571F">
        <w:rPr>
          <w:rFonts w:eastAsia="Times New Roman" w:cstheme="minorHAnsi"/>
          <w:color w:val="333333"/>
          <w:lang w:eastAsia="it-IT"/>
        </w:rPr>
        <w:t>. è in capo all’autorità amministrativa dell’ente.</w:t>
      </w:r>
    </w:p>
    <w:p w14:paraId="6EC1E459" w14:textId="77777777" w:rsidR="00F2571F" w:rsidRDefault="00F2571F" w:rsidP="00F2571F">
      <w:p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955BDD">
        <w:rPr>
          <w:rFonts w:eastAsia="Times New Roman" w:cstheme="minorHAnsi"/>
          <w:color w:val="333333"/>
          <w:lang w:eastAsia="it-IT"/>
        </w:rPr>
        <w:br/>
        <w:t xml:space="preserve">L’ente locale deve compilare un’unica scheda A, anche se l’evento avesse provocato diversi danni o dissesti sul territorio. Qualora fosse necessario integrare la scheda A già inviata (accertamento di danni prima non riconosciuti, nuovo dissesto riconducibile allo stesso evento, ecc.), la nuova scheda dovrà essere integralmente sostitutiva della precedente e dovrà comunque essere inviata entro lo stesso termine (7 giorni dall’evento). Sono ammesse più schede A riferite allo stesso evento solo nel caso in cui fosse necessario richiedere, nei tempi previsti, altrettanti pronti interventi ai sensi della </w:t>
      </w:r>
      <w:proofErr w:type="spellStart"/>
      <w:r w:rsidRPr="00955BDD">
        <w:rPr>
          <w:rFonts w:eastAsia="Times New Roman" w:cstheme="minorHAnsi"/>
          <w:color w:val="333333"/>
          <w:lang w:eastAsia="it-IT"/>
        </w:rPr>
        <w:t>l.r</w:t>
      </w:r>
      <w:proofErr w:type="spellEnd"/>
      <w:r w:rsidRPr="00955BDD">
        <w:rPr>
          <w:rFonts w:eastAsia="Times New Roman" w:cstheme="minorHAnsi"/>
          <w:color w:val="333333"/>
          <w:lang w:eastAsia="it-IT"/>
        </w:rPr>
        <w:t>. 34/1973.</w:t>
      </w:r>
    </w:p>
    <w:p w14:paraId="62BA17EE" w14:textId="77777777" w:rsidR="00F2571F" w:rsidRDefault="00F2571F" w:rsidP="00F2571F">
      <w:p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955BDD">
        <w:rPr>
          <w:rFonts w:eastAsia="Times New Roman" w:cstheme="minorHAnsi"/>
          <w:color w:val="333333"/>
          <w:lang w:eastAsia="it-IT"/>
        </w:rPr>
        <w:br/>
        <w:t>La scheda A di segnalazione danni potrà essere accompagnata da adeguata documentazione fotografica in formato digitale che illustri con chiarezza gli effetti causati dall’evento calamitoso e l’elemento (o gli elementi) a rischio. Le principali aree colpite potranno inoltre essere georeferenziate.</w:t>
      </w:r>
    </w:p>
    <w:p w14:paraId="3E810F6D" w14:textId="77777777" w:rsidR="00F2571F" w:rsidRDefault="00F2571F" w:rsidP="00F2571F">
      <w:p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955BDD">
        <w:rPr>
          <w:rFonts w:eastAsia="Times New Roman" w:cstheme="minorHAnsi"/>
          <w:color w:val="333333"/>
          <w:lang w:eastAsia="it-IT"/>
        </w:rPr>
        <w:lastRenderedPageBreak/>
        <w:br/>
        <w:t>Nella scheda A vanno riportate anche eventuali spese di prima emergenza sostenute dall’ente.</w:t>
      </w:r>
    </w:p>
    <w:p w14:paraId="53CFCEFA" w14:textId="77777777" w:rsidR="00F2571F" w:rsidRDefault="00F2571F" w:rsidP="00F2571F">
      <w:p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955BDD">
        <w:rPr>
          <w:rFonts w:eastAsia="Times New Roman" w:cstheme="minorHAnsi"/>
          <w:color w:val="333333"/>
          <w:lang w:eastAsia="it-IT"/>
        </w:rPr>
        <w:t>La compilazione della scheda A, di esclusiva competenza di figure tecniche interne all’ente, deve essere sottoscritta dal Sindaco.</w:t>
      </w:r>
    </w:p>
    <w:p w14:paraId="4E97F76D" w14:textId="66442575" w:rsidR="00F2571F" w:rsidRPr="00955BDD" w:rsidRDefault="00F2571F" w:rsidP="00F2571F">
      <w:p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955BDD">
        <w:rPr>
          <w:rFonts w:eastAsia="Times New Roman" w:cstheme="minorHAnsi"/>
          <w:color w:val="333333"/>
          <w:lang w:eastAsia="it-IT"/>
        </w:rPr>
        <w:br/>
        <w:t>Affinché la scheda A trasmessa on-line, presa in carico dalla Sede Territoriale regionale competente per territorio, sia considerata ammissibile deve riportare i seguenti contenuti minimi indispensabili:</w:t>
      </w:r>
    </w:p>
    <w:p w14:paraId="36FC00EB" w14:textId="77777777" w:rsidR="00F2571F" w:rsidRPr="00F2571F" w:rsidRDefault="00F2571F" w:rsidP="00F2571F">
      <w:pPr>
        <w:pStyle w:val="Paragrafoelenco"/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F2571F">
        <w:rPr>
          <w:rFonts w:eastAsia="Times New Roman" w:cstheme="minorHAnsi"/>
          <w:color w:val="333333"/>
          <w:lang w:eastAsia="it-IT"/>
        </w:rPr>
        <w:t>descrizione particolareggiata dell’evento o degli eventi (grandinata, frane, ecc.);</w:t>
      </w:r>
    </w:p>
    <w:p w14:paraId="7CBBF58F" w14:textId="77777777" w:rsidR="00F2571F" w:rsidRPr="00F2571F" w:rsidRDefault="00F2571F" w:rsidP="00F2571F">
      <w:pPr>
        <w:pStyle w:val="Paragrafoelenco"/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F2571F">
        <w:rPr>
          <w:rFonts w:eastAsia="Times New Roman" w:cstheme="minorHAnsi"/>
          <w:color w:val="333333"/>
          <w:lang w:eastAsia="it-IT"/>
        </w:rPr>
        <w:t>località interessate dall’evento su Carta Tecnica Regionale (CTR);</w:t>
      </w:r>
    </w:p>
    <w:p w14:paraId="51C86602" w14:textId="77777777" w:rsidR="00F2571F" w:rsidRPr="00F2571F" w:rsidRDefault="00F2571F" w:rsidP="00F2571F">
      <w:pPr>
        <w:pStyle w:val="Paragrafoelenco"/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F2571F">
        <w:rPr>
          <w:rFonts w:eastAsia="Times New Roman" w:cstheme="minorHAnsi"/>
          <w:color w:val="333333"/>
          <w:lang w:eastAsia="it-IT"/>
        </w:rPr>
        <w:t>localizzazione e descrizione dei danni occorsi;</w:t>
      </w:r>
    </w:p>
    <w:p w14:paraId="0FFE4CB2" w14:textId="77777777" w:rsidR="00F2571F" w:rsidRPr="00F2571F" w:rsidRDefault="00F2571F" w:rsidP="00F2571F">
      <w:pPr>
        <w:pStyle w:val="Paragrafoelenco"/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F2571F">
        <w:rPr>
          <w:rFonts w:eastAsia="Times New Roman" w:cstheme="minorHAnsi"/>
          <w:color w:val="333333"/>
          <w:lang w:eastAsia="it-IT"/>
        </w:rPr>
        <w:t>localizzazione e descrizione degli elementi a rischio presenti;</w:t>
      </w:r>
    </w:p>
    <w:p w14:paraId="29D106B5" w14:textId="77777777" w:rsidR="00F2571F" w:rsidRPr="00F2571F" w:rsidRDefault="00F2571F" w:rsidP="00F2571F">
      <w:pPr>
        <w:pStyle w:val="Paragrafoelenco"/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F2571F">
        <w:rPr>
          <w:rFonts w:eastAsia="Times New Roman" w:cstheme="minorHAnsi"/>
          <w:color w:val="333333"/>
          <w:lang w:eastAsia="it-IT"/>
        </w:rPr>
        <w:t>stima economica dei danni, comprensiva degli importi necessari per gli interventi necessari per il superamento dell’emergenza;</w:t>
      </w:r>
    </w:p>
    <w:p w14:paraId="52FB1084" w14:textId="77777777" w:rsidR="00F2571F" w:rsidRPr="00F2571F" w:rsidRDefault="00F2571F" w:rsidP="00F2571F">
      <w:pPr>
        <w:pStyle w:val="Paragrafoelenco"/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F2571F">
        <w:rPr>
          <w:rFonts w:eastAsia="Times New Roman" w:cstheme="minorHAnsi"/>
          <w:color w:val="333333"/>
          <w:lang w:eastAsia="it-IT"/>
        </w:rPr>
        <w:t>documentazione fotografica descrittiva dei danni (facoltativa).</w:t>
      </w:r>
    </w:p>
    <w:p w14:paraId="0603CA47" w14:textId="77777777" w:rsidR="00AD6F4A" w:rsidRPr="00AD6F4A" w:rsidRDefault="00F2571F" w:rsidP="00F2571F">
      <w:pPr>
        <w:spacing w:before="120" w:after="0" w:line="240" w:lineRule="auto"/>
        <w:jc w:val="both"/>
        <w:rPr>
          <w:rFonts w:eastAsia="Times New Roman" w:cstheme="minorHAnsi"/>
          <w:color w:val="333333"/>
          <w:u w:val="single"/>
          <w:lang w:eastAsia="it-IT"/>
        </w:rPr>
      </w:pPr>
      <w:r w:rsidRPr="00955BDD">
        <w:rPr>
          <w:rFonts w:eastAsia="Times New Roman" w:cstheme="minorHAnsi"/>
          <w:color w:val="333333"/>
          <w:lang w:eastAsia="it-IT"/>
        </w:rPr>
        <w:br/>
      </w:r>
      <w:r w:rsidRPr="00955BDD">
        <w:rPr>
          <w:rFonts w:eastAsia="Times New Roman" w:cstheme="minorHAnsi"/>
          <w:color w:val="333333"/>
          <w:u w:val="single"/>
          <w:lang w:eastAsia="it-IT"/>
        </w:rPr>
        <w:t xml:space="preserve">Le schede A compilate sommariamente, incomplete, prive di precisi riferimenti sulle località interessate dall’evento ed elementi a rischio presenti e/o trasmesse successivamente al </w:t>
      </w:r>
      <w:proofErr w:type="gramStart"/>
      <w:r w:rsidRPr="00955BDD">
        <w:rPr>
          <w:rFonts w:eastAsia="Times New Roman" w:cstheme="minorHAnsi"/>
          <w:color w:val="333333"/>
          <w:u w:val="single"/>
          <w:lang w:eastAsia="it-IT"/>
        </w:rPr>
        <w:t>7</w:t>
      </w:r>
      <w:proofErr w:type="gramEnd"/>
      <w:r w:rsidRPr="00955BDD">
        <w:rPr>
          <w:rFonts w:eastAsia="Times New Roman" w:cstheme="minorHAnsi"/>
          <w:color w:val="333333"/>
          <w:u w:val="single"/>
          <w:lang w:eastAsia="it-IT"/>
        </w:rPr>
        <w:t xml:space="preserve"> giorno dall’evento sono considerate non ammissibili e non sono oggetto di procedura di validazione da parte della Sede Territoriale.</w:t>
      </w:r>
    </w:p>
    <w:p w14:paraId="5D7D3DB1" w14:textId="24655ADA" w:rsidR="00955BDD" w:rsidRPr="00F2571F" w:rsidRDefault="00F2571F" w:rsidP="001B46CB">
      <w:p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955BDD">
        <w:rPr>
          <w:rFonts w:eastAsia="Times New Roman" w:cstheme="minorHAnsi"/>
          <w:color w:val="333333"/>
          <w:lang w:eastAsia="it-IT"/>
        </w:rPr>
        <w:br/>
      </w:r>
    </w:p>
    <w:p w14:paraId="1D592A83" w14:textId="77777777" w:rsidR="00955BDD" w:rsidRPr="00F2571F" w:rsidRDefault="00955BDD" w:rsidP="00F2571F">
      <w:pPr>
        <w:spacing w:before="120" w:after="0" w:line="240" w:lineRule="auto"/>
        <w:jc w:val="both"/>
        <w:rPr>
          <w:rFonts w:eastAsia="Times New Roman" w:cstheme="minorHAnsi"/>
          <w:color w:val="333333"/>
          <w:lang w:eastAsia="it-IT"/>
        </w:rPr>
      </w:pPr>
    </w:p>
    <w:sectPr w:rsidR="00955BDD" w:rsidRPr="00F2571F" w:rsidSect="00F2571F">
      <w:headerReference w:type="default" r:id="rId8"/>
      <w:pgSz w:w="11906" w:h="16838"/>
      <w:pgMar w:top="222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44AF" w14:textId="77777777" w:rsidR="0006741B" w:rsidRDefault="0006741B" w:rsidP="00F2571F">
      <w:pPr>
        <w:spacing w:after="0" w:line="240" w:lineRule="auto"/>
      </w:pPr>
      <w:r>
        <w:separator/>
      </w:r>
    </w:p>
  </w:endnote>
  <w:endnote w:type="continuationSeparator" w:id="0">
    <w:p w14:paraId="173DCA4E" w14:textId="77777777" w:rsidR="0006741B" w:rsidRDefault="0006741B" w:rsidP="00F2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28750" w14:textId="77777777" w:rsidR="0006741B" w:rsidRDefault="0006741B" w:rsidP="00F2571F">
      <w:pPr>
        <w:spacing w:after="0" w:line="240" w:lineRule="auto"/>
      </w:pPr>
      <w:r>
        <w:separator/>
      </w:r>
    </w:p>
  </w:footnote>
  <w:footnote w:type="continuationSeparator" w:id="0">
    <w:p w14:paraId="035030EC" w14:textId="77777777" w:rsidR="0006741B" w:rsidRDefault="0006741B" w:rsidP="00F2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388A" w14:textId="7A6F93E4" w:rsidR="00F2571F" w:rsidRDefault="00F2571F" w:rsidP="00F2571F">
    <w:pPr>
      <w:pStyle w:val="Intestazione"/>
      <w:jc w:val="right"/>
    </w:pPr>
    <w:r>
      <w:rPr>
        <w:noProof/>
      </w:rPr>
      <w:drawing>
        <wp:inline distT="0" distB="0" distL="0" distR="0" wp14:anchorId="51852B07" wp14:editId="64C526D5">
          <wp:extent cx="1828800" cy="724535"/>
          <wp:effectExtent l="0" t="0" r="0" b="0"/>
          <wp:docPr id="9" name="Immagine 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87A1C"/>
    <w:multiLevelType w:val="multilevel"/>
    <w:tmpl w:val="B3566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4A2711"/>
    <w:multiLevelType w:val="multilevel"/>
    <w:tmpl w:val="E394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3E3D15"/>
    <w:multiLevelType w:val="multilevel"/>
    <w:tmpl w:val="3A30A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5D3291"/>
    <w:multiLevelType w:val="hybridMultilevel"/>
    <w:tmpl w:val="50764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47EF8"/>
    <w:multiLevelType w:val="multilevel"/>
    <w:tmpl w:val="A98E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4641E1"/>
    <w:multiLevelType w:val="multilevel"/>
    <w:tmpl w:val="455E7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F47F3C"/>
    <w:multiLevelType w:val="multilevel"/>
    <w:tmpl w:val="02DC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BF"/>
    <w:rsid w:val="0006741B"/>
    <w:rsid w:val="001B46CB"/>
    <w:rsid w:val="00342589"/>
    <w:rsid w:val="003C583C"/>
    <w:rsid w:val="007458BF"/>
    <w:rsid w:val="00955BDD"/>
    <w:rsid w:val="00AD6F4A"/>
    <w:rsid w:val="00F2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57668"/>
  <w15:chartTrackingRefBased/>
  <w15:docId w15:val="{8634AE52-8345-4CEA-95D6-9FB02336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5B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7458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7458B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458B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4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55BD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5B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F257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571F"/>
  </w:style>
  <w:style w:type="paragraph" w:styleId="Pidipagina">
    <w:name w:val="footer"/>
    <w:basedOn w:val="Normale"/>
    <w:link w:val="PidipaginaCarattere"/>
    <w:uiPriority w:val="99"/>
    <w:unhideWhenUsed/>
    <w:rsid w:val="00F257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571F"/>
  </w:style>
  <w:style w:type="paragraph" w:styleId="Paragrafoelenco">
    <w:name w:val="List Paragraph"/>
    <w:basedOn w:val="Normale"/>
    <w:uiPriority w:val="34"/>
    <w:qFormat/>
    <w:rsid w:val="00F2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684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Schiripo</dc:creator>
  <cp:keywords/>
  <dc:description/>
  <cp:lastModifiedBy>Antonio Schiripo</cp:lastModifiedBy>
  <cp:revision>2</cp:revision>
  <dcterms:created xsi:type="dcterms:W3CDTF">2021-07-29T07:18:00Z</dcterms:created>
  <dcterms:modified xsi:type="dcterms:W3CDTF">2021-07-29T08:35:00Z</dcterms:modified>
</cp:coreProperties>
</file>